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816CF" w14:textId="740FFEFC" w:rsidR="003E7B84" w:rsidRPr="00152A5A" w:rsidRDefault="00152A5A" w:rsidP="00152A5A">
      <w:pPr>
        <w:spacing w:before="120" w:after="280" w:afterAutospacing="1"/>
        <w:jc w:val="center"/>
        <w:rPr>
          <w:b/>
          <w:bCs/>
        </w:rPr>
      </w:pPr>
      <w:r w:rsidRPr="00152A5A">
        <w:rPr>
          <w:b/>
          <w:bCs/>
        </w:rPr>
        <w:t>QUYỀN LỢI CỦA TỔ CHỨC, DOANH NGHIỆP ĐẠT GTCLQG</w:t>
      </w:r>
    </w:p>
    <w:tbl>
      <w:tblPr>
        <w:tblStyle w:val="TableGrid"/>
        <w:tblW w:w="10207" w:type="dxa"/>
        <w:tblInd w:w="-289" w:type="dxa"/>
        <w:tblLook w:val="04A0" w:firstRow="1" w:lastRow="0" w:firstColumn="1" w:lastColumn="0" w:noHBand="0" w:noVBand="1"/>
      </w:tblPr>
      <w:tblGrid>
        <w:gridCol w:w="746"/>
        <w:gridCol w:w="1710"/>
        <w:gridCol w:w="1514"/>
        <w:gridCol w:w="6237"/>
      </w:tblGrid>
      <w:tr w:rsidR="003E7B84" w14:paraId="54109CFC" w14:textId="77777777" w:rsidTr="00152A5A">
        <w:tc>
          <w:tcPr>
            <w:tcW w:w="746" w:type="dxa"/>
          </w:tcPr>
          <w:p w14:paraId="2DA62802" w14:textId="5385D08A" w:rsidR="003E7B84" w:rsidRPr="001678DD" w:rsidRDefault="003E7B84" w:rsidP="001678DD">
            <w:pPr>
              <w:jc w:val="center"/>
              <w:rPr>
                <w:b/>
                <w:bCs/>
              </w:rPr>
            </w:pPr>
            <w:r w:rsidRPr="001678DD">
              <w:rPr>
                <w:b/>
                <w:bCs/>
              </w:rPr>
              <w:t>STT</w:t>
            </w:r>
          </w:p>
        </w:tc>
        <w:tc>
          <w:tcPr>
            <w:tcW w:w="1710" w:type="dxa"/>
          </w:tcPr>
          <w:p w14:paraId="5A599D08" w14:textId="7B314D56" w:rsidR="003E7B84" w:rsidRPr="001678DD" w:rsidRDefault="003E7B84" w:rsidP="001678DD">
            <w:pPr>
              <w:jc w:val="center"/>
              <w:rPr>
                <w:b/>
                <w:bCs/>
              </w:rPr>
            </w:pPr>
            <w:r w:rsidRPr="001678DD">
              <w:rPr>
                <w:b/>
                <w:bCs/>
              </w:rPr>
              <w:t>Văn bản pháp lý</w:t>
            </w:r>
          </w:p>
        </w:tc>
        <w:tc>
          <w:tcPr>
            <w:tcW w:w="1514" w:type="dxa"/>
          </w:tcPr>
          <w:p w14:paraId="3AEA209C" w14:textId="08A461A9" w:rsidR="003E7B84" w:rsidRPr="001678DD" w:rsidRDefault="00152A5A" w:rsidP="001678DD">
            <w:pPr>
              <w:jc w:val="center"/>
              <w:rPr>
                <w:b/>
                <w:bCs/>
              </w:rPr>
            </w:pPr>
            <w:r>
              <w:rPr>
                <w:b/>
                <w:bCs/>
              </w:rPr>
              <w:t>Điều khoản</w:t>
            </w:r>
          </w:p>
        </w:tc>
        <w:tc>
          <w:tcPr>
            <w:tcW w:w="6237" w:type="dxa"/>
          </w:tcPr>
          <w:p w14:paraId="42F1DF4E" w14:textId="75160F44" w:rsidR="003E7B84" w:rsidRPr="001678DD" w:rsidRDefault="003E7B84" w:rsidP="001678DD">
            <w:pPr>
              <w:jc w:val="center"/>
              <w:rPr>
                <w:b/>
                <w:bCs/>
              </w:rPr>
            </w:pPr>
            <w:r w:rsidRPr="001678DD">
              <w:rPr>
                <w:b/>
                <w:bCs/>
              </w:rPr>
              <w:t>Quyền lợi của DN</w:t>
            </w:r>
          </w:p>
        </w:tc>
      </w:tr>
      <w:tr w:rsidR="003E7B84" w14:paraId="53ABDEC7" w14:textId="77777777" w:rsidTr="00152A5A">
        <w:tc>
          <w:tcPr>
            <w:tcW w:w="746" w:type="dxa"/>
            <w:vMerge w:val="restart"/>
            <w:vAlign w:val="center"/>
          </w:tcPr>
          <w:p w14:paraId="5F7DEA78" w14:textId="02A9F20A" w:rsidR="003E7B84" w:rsidRDefault="003E7B84" w:rsidP="003E7B84">
            <w:pPr>
              <w:jc w:val="center"/>
            </w:pPr>
            <w:r>
              <w:t>1</w:t>
            </w:r>
          </w:p>
        </w:tc>
        <w:tc>
          <w:tcPr>
            <w:tcW w:w="1710" w:type="dxa"/>
            <w:vMerge w:val="restart"/>
            <w:vAlign w:val="center"/>
          </w:tcPr>
          <w:p w14:paraId="7C98D3D5" w14:textId="4263FA7E" w:rsidR="003E7B84" w:rsidRDefault="003E7B84" w:rsidP="003E7B84">
            <w:pPr>
              <w:jc w:val="center"/>
            </w:pPr>
            <w:r>
              <w:t>Luật 78/QH15</w:t>
            </w:r>
          </w:p>
        </w:tc>
        <w:tc>
          <w:tcPr>
            <w:tcW w:w="1514" w:type="dxa"/>
            <w:vMerge w:val="restart"/>
            <w:vAlign w:val="center"/>
          </w:tcPr>
          <w:p w14:paraId="0E039535" w14:textId="75FAA6B6" w:rsidR="003E7B84" w:rsidRDefault="003E7B84" w:rsidP="003E7B84">
            <w:pPr>
              <w:jc w:val="center"/>
            </w:pPr>
            <w:r>
              <w:t>Điều 6c, mục 3</w:t>
            </w:r>
          </w:p>
        </w:tc>
        <w:tc>
          <w:tcPr>
            <w:tcW w:w="6237" w:type="dxa"/>
          </w:tcPr>
          <w:p w14:paraId="3A7FCB6D" w14:textId="37B24B00" w:rsidR="003E7B84" w:rsidRDefault="003E7B84" w:rsidP="008632C9">
            <w:pPr>
              <w:jc w:val="both"/>
            </w:pPr>
            <w:r w:rsidRPr="003E7B84">
              <w:t>Hỗ trợ tài chính từ ngân sách nhà nước thông qua chương trình tài trợ cho nghiên cứu, phát triển sản phẩm, công nghệ và cải tiến chất lượng sản phẩm;</w:t>
            </w:r>
          </w:p>
        </w:tc>
      </w:tr>
      <w:tr w:rsidR="003E7B84" w14:paraId="7506E2DE" w14:textId="77777777" w:rsidTr="00152A5A">
        <w:tc>
          <w:tcPr>
            <w:tcW w:w="746" w:type="dxa"/>
            <w:vMerge/>
          </w:tcPr>
          <w:p w14:paraId="44C1DDB1" w14:textId="77777777" w:rsidR="003E7B84" w:rsidRDefault="003E7B84"/>
        </w:tc>
        <w:tc>
          <w:tcPr>
            <w:tcW w:w="1710" w:type="dxa"/>
            <w:vMerge/>
          </w:tcPr>
          <w:p w14:paraId="5C62B880" w14:textId="77777777" w:rsidR="003E7B84" w:rsidRDefault="003E7B84"/>
        </w:tc>
        <w:tc>
          <w:tcPr>
            <w:tcW w:w="1514" w:type="dxa"/>
            <w:vMerge/>
          </w:tcPr>
          <w:p w14:paraId="524CE13D" w14:textId="77777777" w:rsidR="003E7B84" w:rsidRDefault="003E7B84"/>
        </w:tc>
        <w:tc>
          <w:tcPr>
            <w:tcW w:w="6237" w:type="dxa"/>
          </w:tcPr>
          <w:p w14:paraId="6A69B9B9" w14:textId="7B52D56C" w:rsidR="003E7B84" w:rsidRPr="003E7B84" w:rsidRDefault="003E7B84" w:rsidP="008632C9">
            <w:pPr>
              <w:jc w:val="both"/>
            </w:pPr>
            <w:r w:rsidRPr="003E7B84">
              <w:t>Tạo điều kiện tham gia chương trình hợp tác quốc tế để mở rộng thị trường xuất khẩu và nâng cao giá trị thương hiệu quốc gia;</w:t>
            </w:r>
          </w:p>
        </w:tc>
      </w:tr>
      <w:tr w:rsidR="003E7B84" w14:paraId="6B7FE4E2" w14:textId="77777777" w:rsidTr="00152A5A">
        <w:tc>
          <w:tcPr>
            <w:tcW w:w="746" w:type="dxa"/>
            <w:vMerge/>
          </w:tcPr>
          <w:p w14:paraId="74FA0F6A" w14:textId="77777777" w:rsidR="003E7B84" w:rsidRDefault="003E7B84"/>
        </w:tc>
        <w:tc>
          <w:tcPr>
            <w:tcW w:w="1710" w:type="dxa"/>
            <w:vMerge/>
          </w:tcPr>
          <w:p w14:paraId="382E56C3" w14:textId="77777777" w:rsidR="003E7B84" w:rsidRDefault="003E7B84"/>
        </w:tc>
        <w:tc>
          <w:tcPr>
            <w:tcW w:w="1514" w:type="dxa"/>
            <w:vMerge/>
          </w:tcPr>
          <w:p w14:paraId="64C3370D" w14:textId="77777777" w:rsidR="003E7B84" w:rsidRDefault="003E7B84"/>
        </w:tc>
        <w:tc>
          <w:tcPr>
            <w:tcW w:w="6237" w:type="dxa"/>
          </w:tcPr>
          <w:p w14:paraId="3023E11D" w14:textId="48E7372A" w:rsidR="003E7B84" w:rsidRPr="003E7B84" w:rsidRDefault="003E7B84" w:rsidP="008632C9">
            <w:pPr>
              <w:jc w:val="both"/>
            </w:pPr>
            <w:r w:rsidRPr="003E7B84">
              <w:t>Hỗ trợ việc đào tạo và phát triển nguồn nhân lực về tiêu chuẩn, đo lường, đánh giá sự phù hợp;</w:t>
            </w:r>
          </w:p>
        </w:tc>
      </w:tr>
      <w:tr w:rsidR="003E7B84" w14:paraId="4E7E9441" w14:textId="77777777" w:rsidTr="00152A5A">
        <w:tc>
          <w:tcPr>
            <w:tcW w:w="746" w:type="dxa"/>
            <w:vMerge/>
          </w:tcPr>
          <w:p w14:paraId="0890B145" w14:textId="77777777" w:rsidR="003E7B84" w:rsidRDefault="003E7B84"/>
        </w:tc>
        <w:tc>
          <w:tcPr>
            <w:tcW w:w="1710" w:type="dxa"/>
            <w:vMerge/>
          </w:tcPr>
          <w:p w14:paraId="31ED4CCB" w14:textId="77777777" w:rsidR="003E7B84" w:rsidRDefault="003E7B84"/>
        </w:tc>
        <w:tc>
          <w:tcPr>
            <w:tcW w:w="1514" w:type="dxa"/>
            <w:vMerge/>
          </w:tcPr>
          <w:p w14:paraId="77A7C3B9" w14:textId="77777777" w:rsidR="003E7B84" w:rsidRDefault="003E7B84"/>
        </w:tc>
        <w:tc>
          <w:tcPr>
            <w:tcW w:w="6237" w:type="dxa"/>
          </w:tcPr>
          <w:p w14:paraId="7A0C8CB2" w14:textId="6721B587" w:rsidR="003E7B84" w:rsidRPr="003E7B84" w:rsidRDefault="003E7B84" w:rsidP="008632C9">
            <w:pPr>
              <w:jc w:val="both"/>
            </w:pPr>
            <w:r w:rsidRPr="003E7B84">
              <w:t>Hỗ trợ việc xây dựng và phát triển thương hiệu quốc gia, thông qua việc quảng bá sản phẩm đạt giải thưởng, giúp tăng thị phần trong và ngoài nước;</w:t>
            </w:r>
          </w:p>
        </w:tc>
      </w:tr>
      <w:tr w:rsidR="003E7B84" w14:paraId="008BA760" w14:textId="77777777" w:rsidTr="00152A5A">
        <w:tc>
          <w:tcPr>
            <w:tcW w:w="746" w:type="dxa"/>
            <w:vMerge/>
          </w:tcPr>
          <w:p w14:paraId="15048C27" w14:textId="77777777" w:rsidR="003E7B84" w:rsidRDefault="003E7B84"/>
        </w:tc>
        <w:tc>
          <w:tcPr>
            <w:tcW w:w="1710" w:type="dxa"/>
            <w:vMerge/>
          </w:tcPr>
          <w:p w14:paraId="6A8160D3" w14:textId="77777777" w:rsidR="003E7B84" w:rsidRDefault="003E7B84"/>
        </w:tc>
        <w:tc>
          <w:tcPr>
            <w:tcW w:w="1514" w:type="dxa"/>
            <w:vMerge/>
          </w:tcPr>
          <w:p w14:paraId="006C6263" w14:textId="77777777" w:rsidR="003E7B84" w:rsidRDefault="003E7B84"/>
        </w:tc>
        <w:tc>
          <w:tcPr>
            <w:tcW w:w="6237" w:type="dxa"/>
          </w:tcPr>
          <w:p w14:paraId="59071A60" w14:textId="7FA54870" w:rsidR="003E7B84" w:rsidRPr="003E7B84" w:rsidRDefault="003E7B84" w:rsidP="008632C9">
            <w:pPr>
              <w:jc w:val="both"/>
            </w:pPr>
            <w:r w:rsidRPr="003E7B84">
              <w:t>Hỗ trợ trong việc phát triển sản phẩm thân thiện với môi trường, công nghệ xanh và giải pháp tiết kiệm năng lượng trong quá trình sản xuất.</w:t>
            </w:r>
          </w:p>
        </w:tc>
      </w:tr>
      <w:tr w:rsidR="00526A7F" w14:paraId="08DBEFD1" w14:textId="77777777" w:rsidTr="00152A5A">
        <w:tc>
          <w:tcPr>
            <w:tcW w:w="746" w:type="dxa"/>
            <w:vMerge w:val="restart"/>
            <w:vAlign w:val="center"/>
          </w:tcPr>
          <w:p w14:paraId="5F729230" w14:textId="32093118" w:rsidR="00526A7F" w:rsidRDefault="00526A7F" w:rsidP="008632C9">
            <w:pPr>
              <w:jc w:val="center"/>
            </w:pPr>
            <w:r>
              <w:t>2</w:t>
            </w:r>
          </w:p>
        </w:tc>
        <w:tc>
          <w:tcPr>
            <w:tcW w:w="1710" w:type="dxa"/>
            <w:vMerge w:val="restart"/>
            <w:vAlign w:val="center"/>
          </w:tcPr>
          <w:p w14:paraId="495F15F3" w14:textId="5DE550F2" w:rsidR="00526A7F" w:rsidRDefault="00526A7F" w:rsidP="008632C9">
            <w:pPr>
              <w:jc w:val="center"/>
            </w:pPr>
            <w:r>
              <w:t>Nghị định 37/2026/NĐ-CP</w:t>
            </w:r>
          </w:p>
        </w:tc>
        <w:tc>
          <w:tcPr>
            <w:tcW w:w="1514" w:type="dxa"/>
            <w:vMerge w:val="restart"/>
            <w:vAlign w:val="center"/>
          </w:tcPr>
          <w:p w14:paraId="5FD9F54D" w14:textId="3CF39BDB" w:rsidR="00526A7F" w:rsidRDefault="00526A7F" w:rsidP="008632C9">
            <w:pPr>
              <w:jc w:val="center"/>
            </w:pPr>
            <w:r>
              <w:t>Điều 64</w:t>
            </w:r>
          </w:p>
        </w:tc>
        <w:tc>
          <w:tcPr>
            <w:tcW w:w="6237" w:type="dxa"/>
          </w:tcPr>
          <w:p w14:paraId="47A465A3" w14:textId="28E9BC8C" w:rsidR="00526A7F" w:rsidRPr="003E7B84" w:rsidRDefault="00526A7F" w:rsidP="008632C9">
            <w:pPr>
              <w:jc w:val="both"/>
            </w:pPr>
            <w:r>
              <w:t>Các tổ chức, doanh nghiệp có sản phẩm, hàng hóa đạt Giải thưởng chất lượng quốc gia được phép thông báo, tuyên truyền, quảng cáo trên các phương tiện thông tin đại chúng hoặc các hình thức giới thiệu khác về đơn vị mình, được sử dụng biểu trưng của Giải thưởng chất lượng quốc gia trên sản phẩm, ấn phẩm của tổ chức, doanh nghiệp.</w:t>
            </w:r>
          </w:p>
        </w:tc>
      </w:tr>
      <w:tr w:rsidR="00526A7F" w14:paraId="2874FCBD" w14:textId="77777777" w:rsidTr="00152A5A">
        <w:tc>
          <w:tcPr>
            <w:tcW w:w="746" w:type="dxa"/>
            <w:vMerge/>
          </w:tcPr>
          <w:p w14:paraId="01C7CC9F" w14:textId="77777777" w:rsidR="00526A7F" w:rsidRDefault="00526A7F"/>
        </w:tc>
        <w:tc>
          <w:tcPr>
            <w:tcW w:w="1710" w:type="dxa"/>
            <w:vMerge/>
          </w:tcPr>
          <w:p w14:paraId="6901AF4C" w14:textId="77777777" w:rsidR="00526A7F" w:rsidRDefault="00526A7F"/>
        </w:tc>
        <w:tc>
          <w:tcPr>
            <w:tcW w:w="1514" w:type="dxa"/>
            <w:vMerge/>
          </w:tcPr>
          <w:p w14:paraId="00AEF804" w14:textId="77777777" w:rsidR="00526A7F" w:rsidRDefault="00526A7F"/>
        </w:tc>
        <w:tc>
          <w:tcPr>
            <w:tcW w:w="6237" w:type="dxa"/>
          </w:tcPr>
          <w:p w14:paraId="536D702B" w14:textId="41AB7504" w:rsidR="00526A7F" w:rsidRPr="003E7B84" w:rsidRDefault="00526A7F" w:rsidP="008632C9">
            <w:pPr>
              <w:jc w:val="both"/>
            </w:pPr>
            <w:r>
              <w:t>Tổ chức, doanh nghiệp có sản phẩm, hàng hóa đạt Giải vàng chất lượng quốc gia được Bộ Khoa học và Công nghệ đề cử tham dự các giải thưởng chất lượng khu vực và quốc tế.</w:t>
            </w:r>
          </w:p>
        </w:tc>
      </w:tr>
      <w:tr w:rsidR="00526A7F" w14:paraId="2AFAE423" w14:textId="77777777" w:rsidTr="00152A5A">
        <w:trPr>
          <w:trHeight w:val="1799"/>
        </w:trPr>
        <w:tc>
          <w:tcPr>
            <w:tcW w:w="746" w:type="dxa"/>
            <w:vMerge/>
          </w:tcPr>
          <w:p w14:paraId="5F9E5AEA" w14:textId="77777777" w:rsidR="00526A7F" w:rsidRDefault="00526A7F"/>
        </w:tc>
        <w:tc>
          <w:tcPr>
            <w:tcW w:w="1710" w:type="dxa"/>
            <w:vMerge/>
          </w:tcPr>
          <w:p w14:paraId="5912BA84" w14:textId="77777777" w:rsidR="00526A7F" w:rsidRDefault="00526A7F"/>
        </w:tc>
        <w:tc>
          <w:tcPr>
            <w:tcW w:w="1514" w:type="dxa"/>
            <w:vMerge/>
          </w:tcPr>
          <w:p w14:paraId="3E8A4F4B" w14:textId="77777777" w:rsidR="00526A7F" w:rsidRDefault="00526A7F"/>
        </w:tc>
        <w:tc>
          <w:tcPr>
            <w:tcW w:w="6237" w:type="dxa"/>
          </w:tcPr>
          <w:p w14:paraId="5B10B4F4" w14:textId="26AF2E05" w:rsidR="00526A7F" w:rsidRPr="003E7B84" w:rsidRDefault="00526A7F" w:rsidP="008632C9">
            <w:pPr>
              <w:jc w:val="both"/>
            </w:pPr>
            <w:r>
              <w:t>Các tổ chức, doanh nghiệp có sản phẩm, hàng hóa đạt Giải được ưu tiên hỗ trợ từ Quỹ Phát triển khoa học, công nghệ, đổi mới sáng tạo quốc gia, Quỹ Đổi mới công nghệ quốc gia, các Quỹ phát triển khoa học, công nghệ và đổi mới sáng tạo tại các bộ, ngành, địa phương và các quỹ khác theo quy định của pháp luật.</w:t>
            </w:r>
          </w:p>
        </w:tc>
      </w:tr>
      <w:tr w:rsidR="00526A7F" w14:paraId="3B66056E" w14:textId="77777777" w:rsidTr="00152A5A">
        <w:tc>
          <w:tcPr>
            <w:tcW w:w="746" w:type="dxa"/>
            <w:vMerge/>
          </w:tcPr>
          <w:p w14:paraId="79D21ECB" w14:textId="77777777" w:rsidR="00526A7F" w:rsidRDefault="00526A7F"/>
        </w:tc>
        <w:tc>
          <w:tcPr>
            <w:tcW w:w="1710" w:type="dxa"/>
            <w:vMerge/>
          </w:tcPr>
          <w:p w14:paraId="0CF45732" w14:textId="77777777" w:rsidR="00526A7F" w:rsidRDefault="00526A7F"/>
        </w:tc>
        <w:tc>
          <w:tcPr>
            <w:tcW w:w="1514" w:type="dxa"/>
            <w:vMerge/>
          </w:tcPr>
          <w:p w14:paraId="14C1DFF9" w14:textId="77777777" w:rsidR="00526A7F" w:rsidRDefault="00526A7F"/>
        </w:tc>
        <w:tc>
          <w:tcPr>
            <w:tcW w:w="6237" w:type="dxa"/>
          </w:tcPr>
          <w:p w14:paraId="6CBA1FE2" w14:textId="4EF5F3AE" w:rsidR="00526A7F" w:rsidRPr="003E7B84" w:rsidRDefault="00526A7F" w:rsidP="008632C9">
            <w:pPr>
              <w:jc w:val="both"/>
            </w:pPr>
            <w:r>
              <w:t>Các tổ chức, doanh nghiệp đạt giải được các bộ, ngành và các tỉnh, thành phố khen thưởng theo quy định.</w:t>
            </w:r>
          </w:p>
        </w:tc>
      </w:tr>
      <w:tr w:rsidR="00526A7F" w14:paraId="24CE5104" w14:textId="77777777" w:rsidTr="00152A5A">
        <w:tc>
          <w:tcPr>
            <w:tcW w:w="746" w:type="dxa"/>
            <w:vMerge/>
          </w:tcPr>
          <w:p w14:paraId="6FAB7864" w14:textId="77777777" w:rsidR="00526A7F" w:rsidRDefault="00526A7F"/>
        </w:tc>
        <w:tc>
          <w:tcPr>
            <w:tcW w:w="1710" w:type="dxa"/>
            <w:vMerge/>
          </w:tcPr>
          <w:p w14:paraId="20369655" w14:textId="2CD27C27" w:rsidR="00526A7F" w:rsidRDefault="00526A7F"/>
        </w:tc>
        <w:tc>
          <w:tcPr>
            <w:tcW w:w="1514" w:type="dxa"/>
          </w:tcPr>
          <w:p w14:paraId="6931F40C" w14:textId="04871924" w:rsidR="00526A7F" w:rsidRDefault="00526A7F">
            <w:r>
              <w:t>Điều 12, khoản 1</w:t>
            </w:r>
            <w:r w:rsidR="00C91D66">
              <w:t>, Mục b</w:t>
            </w:r>
          </w:p>
        </w:tc>
        <w:tc>
          <w:tcPr>
            <w:tcW w:w="6237" w:type="dxa"/>
          </w:tcPr>
          <w:p w14:paraId="3C6C60E7" w14:textId="1FA1F961" w:rsidR="00526A7F" w:rsidRDefault="00526A7F" w:rsidP="008632C9">
            <w:pPr>
              <w:jc w:val="both"/>
            </w:pPr>
            <w:r>
              <w:t>Hỗ trợ tài chính thông qua các chương trình, nhiệm vụ khoa học, công nghệ và đổi mới sáng tạo về năng suất, chất lượng;</w:t>
            </w:r>
          </w:p>
        </w:tc>
      </w:tr>
      <w:tr w:rsidR="00526A7F" w14:paraId="43BE19D9" w14:textId="77777777" w:rsidTr="00152A5A">
        <w:tc>
          <w:tcPr>
            <w:tcW w:w="746" w:type="dxa"/>
            <w:vMerge/>
          </w:tcPr>
          <w:p w14:paraId="1FDDB255" w14:textId="77777777" w:rsidR="00526A7F" w:rsidRDefault="00526A7F"/>
        </w:tc>
        <w:tc>
          <w:tcPr>
            <w:tcW w:w="1710" w:type="dxa"/>
            <w:vMerge/>
          </w:tcPr>
          <w:p w14:paraId="170F2718" w14:textId="77777777" w:rsidR="00526A7F" w:rsidRDefault="00526A7F"/>
        </w:tc>
        <w:tc>
          <w:tcPr>
            <w:tcW w:w="1514" w:type="dxa"/>
          </w:tcPr>
          <w:p w14:paraId="3B5B90BF" w14:textId="3F78EE4C" w:rsidR="00526A7F" w:rsidRDefault="00526A7F">
            <w:r>
              <w:t>Điều 12, khoản 1</w:t>
            </w:r>
            <w:r w:rsidR="00C91D66">
              <w:t>, Mục c</w:t>
            </w:r>
          </w:p>
        </w:tc>
        <w:tc>
          <w:tcPr>
            <w:tcW w:w="6237" w:type="dxa"/>
          </w:tcPr>
          <w:p w14:paraId="42CCBEBC" w14:textId="4F6DBCFD" w:rsidR="00526A7F" w:rsidRDefault="00526A7F" w:rsidP="008632C9">
            <w:pPr>
              <w:jc w:val="both"/>
            </w:pPr>
            <w:r>
              <w:t>Hỗ trợ quảng bá, kết nối hợp tác quốc tế, phát triển thương hiệu.</w:t>
            </w:r>
          </w:p>
        </w:tc>
      </w:tr>
      <w:tr w:rsidR="008632C9" w14:paraId="069616EA" w14:textId="77777777" w:rsidTr="00152A5A">
        <w:tc>
          <w:tcPr>
            <w:tcW w:w="746" w:type="dxa"/>
            <w:vMerge w:val="restart"/>
            <w:vAlign w:val="center"/>
          </w:tcPr>
          <w:p w14:paraId="5B254952" w14:textId="7D2C7EEB" w:rsidR="008632C9" w:rsidRDefault="008632C9" w:rsidP="008632C9">
            <w:pPr>
              <w:jc w:val="center"/>
            </w:pPr>
            <w:r>
              <w:t>3</w:t>
            </w:r>
          </w:p>
        </w:tc>
        <w:tc>
          <w:tcPr>
            <w:tcW w:w="1710" w:type="dxa"/>
            <w:vMerge w:val="restart"/>
            <w:vAlign w:val="center"/>
          </w:tcPr>
          <w:p w14:paraId="407ABD62" w14:textId="554D6285" w:rsidR="008632C9" w:rsidRDefault="008632C9" w:rsidP="008632C9">
            <w:pPr>
              <w:jc w:val="center"/>
            </w:pPr>
            <w:r>
              <w:t>Thông tư 03/2026/TT-BKHCN</w:t>
            </w:r>
          </w:p>
        </w:tc>
        <w:tc>
          <w:tcPr>
            <w:tcW w:w="1514" w:type="dxa"/>
            <w:vAlign w:val="center"/>
          </w:tcPr>
          <w:p w14:paraId="3FC03656" w14:textId="452D5060" w:rsidR="008632C9" w:rsidRDefault="008632C9" w:rsidP="008632C9">
            <w:pPr>
              <w:jc w:val="center"/>
            </w:pPr>
            <w:r>
              <w:t>Điều 10, mục 2</w:t>
            </w:r>
          </w:p>
        </w:tc>
        <w:tc>
          <w:tcPr>
            <w:tcW w:w="6237" w:type="dxa"/>
          </w:tcPr>
          <w:p w14:paraId="4BF163FF" w14:textId="1291F349" w:rsidR="008632C9" w:rsidRPr="003E7B84" w:rsidRDefault="008632C9" w:rsidP="008632C9">
            <w:pPr>
              <w:jc w:val="both"/>
            </w:pPr>
            <w:r w:rsidRPr="003E7B84">
              <w:t>Cơ quan thường trực Giải thưởng chất lượng quốc gia tổ chức họp báo công bố kết quả xét tặng Giải thưởng chất lượng quốc gia; tổ chức lễ trao Giải thưởng chất lượng quốc gia cho các tổ chức, doanh nghiệp có sản phẩm, hàng hóa đạt giải.</w:t>
            </w:r>
          </w:p>
        </w:tc>
      </w:tr>
      <w:tr w:rsidR="008632C9" w14:paraId="71F775CB" w14:textId="77777777" w:rsidTr="00152A5A">
        <w:tc>
          <w:tcPr>
            <w:tcW w:w="746" w:type="dxa"/>
            <w:vMerge/>
          </w:tcPr>
          <w:p w14:paraId="1365E9C3" w14:textId="77777777" w:rsidR="008632C9" w:rsidRDefault="008632C9"/>
        </w:tc>
        <w:tc>
          <w:tcPr>
            <w:tcW w:w="1710" w:type="dxa"/>
            <w:vMerge/>
          </w:tcPr>
          <w:p w14:paraId="47C5A758" w14:textId="77777777" w:rsidR="008632C9" w:rsidRDefault="008632C9"/>
        </w:tc>
        <w:tc>
          <w:tcPr>
            <w:tcW w:w="1514" w:type="dxa"/>
            <w:vAlign w:val="center"/>
          </w:tcPr>
          <w:p w14:paraId="04B1BC14" w14:textId="717778F4" w:rsidR="008632C9" w:rsidRDefault="008632C9" w:rsidP="008632C9">
            <w:pPr>
              <w:jc w:val="center"/>
            </w:pPr>
            <w:r>
              <w:t>Điều 10, mục 3</w:t>
            </w:r>
          </w:p>
        </w:tc>
        <w:tc>
          <w:tcPr>
            <w:tcW w:w="6237" w:type="dxa"/>
          </w:tcPr>
          <w:p w14:paraId="31890E54" w14:textId="75A031A3" w:rsidR="008632C9" w:rsidRDefault="008632C9" w:rsidP="008632C9">
            <w:pPr>
              <w:jc w:val="both"/>
            </w:pPr>
            <w:r w:rsidRPr="003E7B84">
              <w:t>Tổ chức, doanh nghiệp có sản phẩm, hàng hóa đạt Giải thưởng chất lượng quốc gia được nhận Cúp và Giấy chứng nhận tương ứng.</w:t>
            </w:r>
          </w:p>
        </w:tc>
      </w:tr>
    </w:tbl>
    <w:p w14:paraId="2753DF61" w14:textId="25435614" w:rsidR="00A873C1" w:rsidRDefault="00A873C1" w:rsidP="008632C9"/>
    <w:p w14:paraId="234A1442" w14:textId="6BF7FD64" w:rsidR="00152A5A" w:rsidRDefault="00152A5A" w:rsidP="008632C9"/>
    <w:p w14:paraId="23C0E83B" w14:textId="04005866" w:rsidR="00152A5A" w:rsidRPr="003E7B84" w:rsidRDefault="00152A5A" w:rsidP="00152A5A">
      <w:pPr>
        <w:jc w:val="center"/>
      </w:pPr>
      <w:r>
        <w:t>___________________</w:t>
      </w:r>
    </w:p>
    <w:sectPr w:rsidR="00152A5A" w:rsidRPr="003E7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B8"/>
    <w:rsid w:val="00152A5A"/>
    <w:rsid w:val="001678DD"/>
    <w:rsid w:val="001C568D"/>
    <w:rsid w:val="002763E6"/>
    <w:rsid w:val="003E7B84"/>
    <w:rsid w:val="004B473E"/>
    <w:rsid w:val="00526A7F"/>
    <w:rsid w:val="00571637"/>
    <w:rsid w:val="005C63E8"/>
    <w:rsid w:val="00673C45"/>
    <w:rsid w:val="006D6957"/>
    <w:rsid w:val="00806A4E"/>
    <w:rsid w:val="008632C9"/>
    <w:rsid w:val="008B03A7"/>
    <w:rsid w:val="009A2840"/>
    <w:rsid w:val="00A873C1"/>
    <w:rsid w:val="00AD6EB8"/>
    <w:rsid w:val="00B431B9"/>
    <w:rsid w:val="00C91D66"/>
    <w:rsid w:val="00DC49E3"/>
    <w:rsid w:val="00EE16DA"/>
    <w:rsid w:val="00F4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BA3F"/>
  <w15:chartTrackingRefBased/>
  <w15:docId w15:val="{E25FB390-2D44-4191-A043-D02C7424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EB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D6E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6E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6E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6E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6E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6E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EB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D6E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6E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6E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6E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6E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6E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6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EB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D6EB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D6EB8"/>
    <w:pPr>
      <w:spacing w:before="160"/>
      <w:jc w:val="center"/>
    </w:pPr>
    <w:rPr>
      <w:i/>
      <w:iCs/>
      <w:color w:val="404040" w:themeColor="text1" w:themeTint="BF"/>
    </w:rPr>
  </w:style>
  <w:style w:type="character" w:customStyle="1" w:styleId="QuoteChar">
    <w:name w:val="Quote Char"/>
    <w:basedOn w:val="DefaultParagraphFont"/>
    <w:link w:val="Quote"/>
    <w:uiPriority w:val="29"/>
    <w:rsid w:val="00AD6EB8"/>
    <w:rPr>
      <w:i/>
      <w:iCs/>
      <w:color w:val="404040" w:themeColor="text1" w:themeTint="BF"/>
    </w:rPr>
  </w:style>
  <w:style w:type="paragraph" w:styleId="ListParagraph">
    <w:name w:val="List Paragraph"/>
    <w:basedOn w:val="Normal"/>
    <w:uiPriority w:val="34"/>
    <w:qFormat/>
    <w:rsid w:val="00AD6EB8"/>
    <w:pPr>
      <w:ind w:left="720"/>
      <w:contextualSpacing/>
    </w:pPr>
  </w:style>
  <w:style w:type="character" w:styleId="IntenseEmphasis">
    <w:name w:val="Intense Emphasis"/>
    <w:basedOn w:val="DefaultParagraphFont"/>
    <w:uiPriority w:val="21"/>
    <w:qFormat/>
    <w:rsid w:val="00AD6EB8"/>
    <w:rPr>
      <w:i/>
      <w:iCs/>
      <w:color w:val="0F4761" w:themeColor="accent1" w:themeShade="BF"/>
    </w:rPr>
  </w:style>
  <w:style w:type="paragraph" w:styleId="IntenseQuote">
    <w:name w:val="Intense Quote"/>
    <w:basedOn w:val="Normal"/>
    <w:next w:val="Normal"/>
    <w:link w:val="IntenseQuoteChar"/>
    <w:uiPriority w:val="30"/>
    <w:qFormat/>
    <w:rsid w:val="00AD6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EB8"/>
    <w:rPr>
      <w:i/>
      <w:iCs/>
      <w:color w:val="0F4761" w:themeColor="accent1" w:themeShade="BF"/>
    </w:rPr>
  </w:style>
  <w:style w:type="character" w:styleId="IntenseReference">
    <w:name w:val="Intense Reference"/>
    <w:basedOn w:val="DefaultParagraphFont"/>
    <w:uiPriority w:val="32"/>
    <w:qFormat/>
    <w:rsid w:val="00AD6EB8"/>
    <w:rPr>
      <w:b/>
      <w:bCs/>
      <w:smallCaps/>
      <w:color w:val="0F4761" w:themeColor="accent1" w:themeShade="BF"/>
      <w:spacing w:val="5"/>
    </w:rPr>
  </w:style>
  <w:style w:type="table" w:styleId="TableGrid">
    <w:name w:val="Table Grid"/>
    <w:basedOn w:val="TableNormal"/>
    <w:uiPriority w:val="39"/>
    <w:rsid w:val="003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tcvn</cp:lastModifiedBy>
  <cp:revision>14</cp:revision>
  <dcterms:created xsi:type="dcterms:W3CDTF">2026-03-18T01:23:00Z</dcterms:created>
  <dcterms:modified xsi:type="dcterms:W3CDTF">2026-03-30T03:18:00Z</dcterms:modified>
</cp:coreProperties>
</file>